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B2BD" w14:textId="77777777" w:rsidR="00F70C33" w:rsidRDefault="00F70C33" w:rsidP="00F70C33">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9C2B5B5" w14:textId="346FA448" w:rsidR="0090696E" w:rsidRPr="00F80A6E" w:rsidRDefault="00DB7A9E" w:rsidP="00F70C33">
      <w:pPr>
        <w:jc w:val="center"/>
        <w:rPr>
          <w:rFonts w:ascii="Times New Roman" w:hAnsi="Times New Roman" w:cs="Times New Roman"/>
          <w:b/>
          <w:bCs/>
          <w:kern w:val="0"/>
          <w14:ligatures w14:val="none"/>
        </w:rPr>
      </w:pPr>
      <w:r w:rsidRPr="00DB7A9E">
        <w:rPr>
          <w:rFonts w:ascii="Times New Roman" w:hAnsi="Times New Roman" w:cs="Times New Roman"/>
          <w:b/>
          <w:bCs/>
          <w:kern w:val="0"/>
          <w14:ligatures w14:val="none"/>
        </w:rPr>
        <w:t>Disputes Prevention &amp; Resolution</w:t>
      </w:r>
    </w:p>
    <w:p w14:paraId="3F2548AC" w14:textId="5711FD8A" w:rsidR="005F6B8F" w:rsidRPr="005F6B8F" w:rsidRDefault="005F6B8F" w:rsidP="005F6B8F">
      <w:p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kern w:val="0"/>
          <w14:ligatures w14:val="none"/>
        </w:rPr>
        <w:t xml:space="preserve">The executive summary for </w:t>
      </w:r>
      <w:r w:rsidR="004B4193">
        <w:rPr>
          <w:rFonts w:ascii="Times New Roman" w:hAnsi="Times New Roman" w:cs="Times New Roman"/>
          <w:kern w:val="0"/>
          <w14:ligatures w14:val="none"/>
        </w:rPr>
        <w:t>“</w:t>
      </w:r>
      <w:r w:rsidRPr="005F6B8F">
        <w:rPr>
          <w:rFonts w:ascii="Times New Roman" w:eastAsia="Times New Roman" w:hAnsi="Times New Roman" w:cs="Times New Roman"/>
          <w:kern w:val="0"/>
          <w14:ligatures w14:val="none"/>
        </w:rPr>
        <w:t>Disputes Prevention &amp; Resolution</w:t>
      </w:r>
      <w:r w:rsidR="004B4193">
        <w:rPr>
          <w:rFonts w:ascii="Times New Roman" w:hAnsi="Times New Roman" w:cs="Times New Roman"/>
          <w:kern w:val="0"/>
          <w14:ligatures w14:val="none"/>
        </w:rPr>
        <w:t>”</w:t>
      </w:r>
      <w:r w:rsidRPr="005F6B8F">
        <w:rPr>
          <w:rFonts w:ascii="Times New Roman" w:eastAsia="Times New Roman" w:hAnsi="Times New Roman" w:cs="Times New Roman"/>
          <w:kern w:val="0"/>
          <w14:ligatures w14:val="none"/>
        </w:rPr>
        <w:t xml:space="preserve"> synthesizes the key insights and findings from the provided research, highlighting best practices, tools, and frameworks to minimize disputes in the construction industry.</w:t>
      </w:r>
    </w:p>
    <w:p w14:paraId="1461C6FA" w14:textId="6CD943EE" w:rsidR="005F6B8F" w:rsidRPr="005F6B8F" w:rsidRDefault="005F6B8F" w:rsidP="005F6B8F">
      <w:p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kern w:val="0"/>
          <w14:ligatures w14:val="none"/>
        </w:rPr>
        <w:t>Effective dispute prevention and resolution in construction require addressing three core causes: project uncertainty, process inefficiencies, and interpersonal conflicts. Failure to mitigate these leads to costly, time-consuming litigation. Preventive measures should prioritize on-site resolution through timely interventions by project personnel, supported by robust training in negotiation and conflict resolution skills (</w:t>
      </w:r>
      <w:hyperlink r:id="rId7" w:history="1">
        <w:r w:rsidRPr="00F25B14">
          <w:rPr>
            <w:rStyle w:val="Hyperlink"/>
            <w:rFonts w:ascii="Times New Roman" w:eastAsia="Times New Roman" w:hAnsi="Times New Roman" w:cs="Times New Roman"/>
            <w:kern w:val="0"/>
            <w14:ligatures w14:val="none"/>
          </w:rPr>
          <w:t>RS23-1</w:t>
        </w:r>
      </w:hyperlink>
      <w:r w:rsidRPr="005F6B8F">
        <w:rPr>
          <w:rFonts w:ascii="Times New Roman" w:eastAsia="Times New Roman" w:hAnsi="Times New Roman" w:cs="Times New Roman"/>
          <w:kern w:val="0"/>
          <w14:ligatures w14:val="none"/>
        </w:rPr>
        <w:t>). The inclusion of Dispute Review Boards (DRBs) and transparent communication among stakeholders further enhances proactive resolution approaches (</w:t>
      </w:r>
      <w:hyperlink r:id="rId8" w:history="1">
        <w:r w:rsidRPr="00F25B14">
          <w:rPr>
            <w:rStyle w:val="Hyperlink"/>
            <w:rFonts w:ascii="Times New Roman" w:eastAsia="Times New Roman" w:hAnsi="Times New Roman" w:cs="Times New Roman"/>
            <w:kern w:val="0"/>
            <w14:ligatures w14:val="none"/>
          </w:rPr>
          <w:t>SD-95</w:t>
        </w:r>
      </w:hyperlink>
      <w:r w:rsidRPr="005F6B8F">
        <w:rPr>
          <w:rFonts w:ascii="Times New Roman" w:eastAsia="Times New Roman" w:hAnsi="Times New Roman" w:cs="Times New Roman"/>
          <w:kern w:val="0"/>
          <w14:ligatures w14:val="none"/>
        </w:rPr>
        <w:t>).</w:t>
      </w:r>
    </w:p>
    <w:p w14:paraId="061B2C28" w14:textId="03A3F144" w:rsidR="005F6B8F" w:rsidRPr="005F6B8F" w:rsidRDefault="005F6B8F" w:rsidP="005F6B8F">
      <w:p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kern w:val="0"/>
          <w14:ligatures w14:val="none"/>
        </w:rPr>
        <w:t>DRBs have been particularly successful, emphasizing early, on-site resolution facilitated by neutral experts. Their informal, trust-based nature aligns with partnering principles, ensuring disputes are addressed collaboratively and efficiently without escalation to litigation (</w:t>
      </w:r>
      <w:hyperlink r:id="rId9" w:history="1">
        <w:r w:rsidR="00F25B14" w:rsidRPr="00F25B14">
          <w:rPr>
            <w:rStyle w:val="Hyperlink"/>
            <w:rFonts w:ascii="Times New Roman" w:eastAsia="Times New Roman" w:hAnsi="Times New Roman" w:cs="Times New Roman"/>
            <w:kern w:val="0"/>
            <w14:ligatures w14:val="none"/>
          </w:rPr>
          <w:t>SD-95</w:t>
        </w:r>
      </w:hyperlink>
      <w:r w:rsidRPr="005F6B8F">
        <w:rPr>
          <w:rFonts w:ascii="Times New Roman" w:eastAsia="Times New Roman" w:hAnsi="Times New Roman" w:cs="Times New Roman"/>
          <w:kern w:val="0"/>
          <w14:ligatures w14:val="none"/>
        </w:rPr>
        <w:t>). Owners are pivotal in implementing these systems, with success contingent on their leadership in initiating and maintaining preventive measures (</w:t>
      </w:r>
      <w:hyperlink r:id="rId10" w:history="1">
        <w:r w:rsidR="00F25B14" w:rsidRPr="00F25B14">
          <w:rPr>
            <w:rStyle w:val="Hyperlink"/>
            <w:rFonts w:ascii="Times New Roman" w:eastAsia="Times New Roman" w:hAnsi="Times New Roman" w:cs="Times New Roman"/>
            <w:kern w:val="0"/>
            <w14:ligatures w14:val="none"/>
          </w:rPr>
          <w:t>SD-95</w:t>
        </w:r>
      </w:hyperlink>
      <w:r w:rsidRPr="005F6B8F">
        <w:rPr>
          <w:rFonts w:ascii="Times New Roman" w:eastAsia="Times New Roman" w:hAnsi="Times New Roman" w:cs="Times New Roman"/>
          <w:kern w:val="0"/>
          <w14:ligatures w14:val="none"/>
        </w:rPr>
        <w:t>).</w:t>
      </w:r>
    </w:p>
    <w:p w14:paraId="5B79AB02" w14:textId="11E55253" w:rsidR="005F6B8F" w:rsidRPr="005F6B8F" w:rsidRDefault="005F6B8F" w:rsidP="005F6B8F">
      <w:p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kern w:val="0"/>
          <w14:ligatures w14:val="none"/>
        </w:rPr>
        <w:t>Innovative tools like the Disputes Potential Index (DPI) enable predictive analysis of dispute likelihood based on project characteristics such as management quality, complexity, and risk allocation. This tool supports preconstruction readiness and ongoing project monitoring, fostering proactive mitigation strategies (</w:t>
      </w:r>
      <w:hyperlink r:id="rId11" w:history="1">
        <w:r w:rsidRPr="00F25B14">
          <w:rPr>
            <w:rStyle w:val="Hyperlink"/>
            <w:rFonts w:ascii="Times New Roman" w:eastAsia="Times New Roman" w:hAnsi="Times New Roman" w:cs="Times New Roman"/>
            <w:kern w:val="0"/>
            <w14:ligatures w14:val="none"/>
          </w:rPr>
          <w:t>SD-101</w:t>
        </w:r>
      </w:hyperlink>
      <w:r w:rsidRPr="005F6B8F">
        <w:rPr>
          <w:rFonts w:ascii="Times New Roman" w:eastAsia="Times New Roman" w:hAnsi="Times New Roman" w:cs="Times New Roman"/>
          <w:kern w:val="0"/>
          <w14:ligatures w14:val="none"/>
        </w:rPr>
        <w:t>).</w:t>
      </w:r>
    </w:p>
    <w:p w14:paraId="65A25992" w14:textId="77777777" w:rsidR="005F6B8F" w:rsidRPr="005F6B8F" w:rsidRDefault="005F6B8F" w:rsidP="005F6B8F">
      <w:p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kern w:val="0"/>
          <w14:ligatures w14:val="none"/>
        </w:rPr>
        <w:t>Key recommendations include:</w:t>
      </w:r>
    </w:p>
    <w:p w14:paraId="20531AD2" w14:textId="77777777" w:rsidR="005F6B8F" w:rsidRPr="005F6B8F" w:rsidRDefault="005F6B8F" w:rsidP="005F6B8F">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b/>
          <w:bCs/>
          <w:kern w:val="0"/>
          <w14:ligatures w14:val="none"/>
        </w:rPr>
        <w:t>Starting Right</w:t>
      </w:r>
      <w:r w:rsidRPr="005F6B8F">
        <w:rPr>
          <w:rFonts w:ascii="Times New Roman" w:eastAsia="Times New Roman" w:hAnsi="Times New Roman" w:cs="Times New Roman"/>
          <w:kern w:val="0"/>
          <w14:ligatures w14:val="none"/>
        </w:rPr>
        <w:t>: Initiate preconstruction strategies like constructability reviews, risk allocation, and inclusion of dispute prevention clauses in contracts. Enhance partnering agreements to align stakeholders toward common goals.</w:t>
      </w:r>
    </w:p>
    <w:p w14:paraId="2F38A988" w14:textId="77777777" w:rsidR="005F6B8F" w:rsidRPr="005F6B8F" w:rsidRDefault="005F6B8F" w:rsidP="005F6B8F">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b/>
          <w:bCs/>
          <w:kern w:val="0"/>
          <w14:ligatures w14:val="none"/>
        </w:rPr>
        <w:t>Staying Right</w:t>
      </w:r>
      <w:r w:rsidRPr="005F6B8F">
        <w:rPr>
          <w:rFonts w:ascii="Times New Roman" w:eastAsia="Times New Roman" w:hAnsi="Times New Roman" w:cs="Times New Roman"/>
          <w:kern w:val="0"/>
          <w14:ligatures w14:val="none"/>
        </w:rPr>
        <w:t>: Foster team building, training, and transparent communication to maintain collaborative project environments. Regular documentation reviews and clear conflict resolution protocols reduce misunderstandings.</w:t>
      </w:r>
    </w:p>
    <w:p w14:paraId="2BCC8593" w14:textId="77777777" w:rsidR="005F6B8F" w:rsidRPr="005F6B8F" w:rsidRDefault="005F6B8F" w:rsidP="005F6B8F">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b/>
          <w:bCs/>
          <w:kern w:val="0"/>
          <w14:ligatures w14:val="none"/>
        </w:rPr>
        <w:t>Providing for Resolution</w:t>
      </w:r>
      <w:r w:rsidRPr="005F6B8F">
        <w:rPr>
          <w:rFonts w:ascii="Times New Roman" w:eastAsia="Times New Roman" w:hAnsi="Times New Roman" w:cs="Times New Roman"/>
          <w:kern w:val="0"/>
          <w14:ligatures w14:val="none"/>
        </w:rPr>
        <w:t>: Implement structured mechanisms such as DRBs, mediation, and arbitration to resolve disputes expediently on-site while keeping project managers actively involved.</w:t>
      </w:r>
    </w:p>
    <w:p w14:paraId="602D1099" w14:textId="5490B25F" w:rsidR="005F6B8F" w:rsidRPr="005F6B8F" w:rsidRDefault="005F6B8F" w:rsidP="005F6B8F">
      <w:pPr>
        <w:spacing w:before="100" w:beforeAutospacing="1" w:after="100" w:afterAutospacing="1" w:line="240" w:lineRule="auto"/>
        <w:rPr>
          <w:rFonts w:ascii="Times New Roman" w:eastAsia="Times New Roman" w:hAnsi="Times New Roman" w:cs="Times New Roman"/>
          <w:kern w:val="0"/>
          <w14:ligatures w14:val="none"/>
        </w:rPr>
      </w:pPr>
      <w:r w:rsidRPr="005F6B8F">
        <w:rPr>
          <w:rFonts w:ascii="Times New Roman" w:eastAsia="Times New Roman" w:hAnsi="Times New Roman" w:cs="Times New Roman"/>
          <w:kern w:val="0"/>
          <w14:ligatures w14:val="none"/>
        </w:rPr>
        <w:t>Ultimately, integrating these strategies into project management practices minimizes adversarial interactions, reduces costs, and ensures project continuity, benefiting all stakeholders involved (</w:t>
      </w:r>
      <w:hyperlink r:id="rId12" w:history="1">
        <w:r w:rsidR="00F25B14" w:rsidRPr="00F25B14">
          <w:rPr>
            <w:rStyle w:val="Hyperlink"/>
            <w:rFonts w:ascii="Times New Roman" w:eastAsia="Times New Roman" w:hAnsi="Times New Roman" w:cs="Times New Roman"/>
            <w:kern w:val="0"/>
            <w14:ligatures w14:val="none"/>
          </w:rPr>
          <w:t>RS23-1</w:t>
        </w:r>
      </w:hyperlink>
      <w:r w:rsidRPr="005F6B8F">
        <w:rPr>
          <w:rFonts w:ascii="Times New Roman" w:eastAsia="Times New Roman" w:hAnsi="Times New Roman" w:cs="Times New Roman"/>
          <w:kern w:val="0"/>
          <w14:ligatures w14:val="none"/>
        </w:rPr>
        <w:t xml:space="preserve">; </w:t>
      </w:r>
      <w:hyperlink r:id="rId13" w:history="1">
        <w:r w:rsidR="00F25B14" w:rsidRPr="00F25B14">
          <w:rPr>
            <w:rStyle w:val="Hyperlink"/>
            <w:rFonts w:ascii="Times New Roman" w:eastAsia="Times New Roman" w:hAnsi="Times New Roman" w:cs="Times New Roman"/>
            <w:kern w:val="0"/>
            <w14:ligatures w14:val="none"/>
          </w:rPr>
          <w:t>SD-95</w:t>
        </w:r>
      </w:hyperlink>
      <w:r w:rsidRPr="005F6B8F">
        <w:rPr>
          <w:rFonts w:ascii="Times New Roman" w:eastAsia="Times New Roman" w:hAnsi="Times New Roman" w:cs="Times New Roman"/>
          <w:kern w:val="0"/>
          <w14:ligatures w14:val="none"/>
        </w:rPr>
        <w:t xml:space="preserve">; </w:t>
      </w:r>
      <w:hyperlink r:id="rId14" w:history="1">
        <w:r w:rsidR="00F25B14" w:rsidRPr="00F25B14">
          <w:rPr>
            <w:rStyle w:val="Hyperlink"/>
            <w:rFonts w:ascii="Times New Roman" w:eastAsia="Times New Roman" w:hAnsi="Times New Roman" w:cs="Times New Roman"/>
            <w:kern w:val="0"/>
            <w14:ligatures w14:val="none"/>
          </w:rPr>
          <w:t>SD-101</w:t>
        </w:r>
      </w:hyperlink>
      <w:r w:rsidRPr="005F6B8F">
        <w:rPr>
          <w:rFonts w:ascii="Times New Roman" w:eastAsia="Times New Roman" w:hAnsi="Times New Roman" w:cs="Times New Roman"/>
          <w:kern w:val="0"/>
          <w14:ligatures w14:val="none"/>
        </w:rPr>
        <w:t>).</w:t>
      </w:r>
    </w:p>
    <w:p w14:paraId="119858B7" w14:textId="3D99EC52" w:rsidR="00D556E1" w:rsidRDefault="00D556E1" w:rsidP="00A37ED8">
      <w:pPr>
        <w:pStyle w:val="NormalWeb"/>
      </w:pPr>
    </w:p>
    <w:sectPr w:rsidR="00D556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F93BF" w14:textId="77777777" w:rsidR="0008437B" w:rsidRDefault="0008437B" w:rsidP="009F6396">
      <w:pPr>
        <w:spacing w:after="0" w:line="240" w:lineRule="auto"/>
      </w:pPr>
      <w:r>
        <w:separator/>
      </w:r>
    </w:p>
  </w:endnote>
  <w:endnote w:type="continuationSeparator" w:id="0">
    <w:p w14:paraId="60268EA8" w14:textId="77777777" w:rsidR="0008437B" w:rsidRDefault="0008437B"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7F90C" w14:textId="77777777" w:rsidR="0008437B" w:rsidRDefault="0008437B" w:rsidP="009F6396">
      <w:pPr>
        <w:spacing w:after="0" w:line="240" w:lineRule="auto"/>
      </w:pPr>
      <w:r>
        <w:separator/>
      </w:r>
    </w:p>
  </w:footnote>
  <w:footnote w:type="continuationSeparator" w:id="0">
    <w:p w14:paraId="6F772D4A" w14:textId="77777777" w:rsidR="0008437B" w:rsidRDefault="0008437B"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6F2319"/>
    <w:multiLevelType w:val="multilevel"/>
    <w:tmpl w:val="47E8F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4"/>
  </w:num>
  <w:num w:numId="4" w16cid:durableId="642270163">
    <w:abstractNumId w:val="3"/>
  </w:num>
  <w:num w:numId="5" w16cid:durableId="7182138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gFACpasiwtAAAA"/>
  </w:docVars>
  <w:rsids>
    <w:rsidRoot w:val="00B30BC0"/>
    <w:rsid w:val="000374DD"/>
    <w:rsid w:val="0008437B"/>
    <w:rsid w:val="000D3987"/>
    <w:rsid w:val="000F06EE"/>
    <w:rsid w:val="00110278"/>
    <w:rsid w:val="0023691A"/>
    <w:rsid w:val="00251733"/>
    <w:rsid w:val="0027452F"/>
    <w:rsid w:val="002E79E5"/>
    <w:rsid w:val="003A0542"/>
    <w:rsid w:val="003A0A11"/>
    <w:rsid w:val="00484455"/>
    <w:rsid w:val="004B4193"/>
    <w:rsid w:val="004F7312"/>
    <w:rsid w:val="00553CF5"/>
    <w:rsid w:val="005F6B8F"/>
    <w:rsid w:val="0067243C"/>
    <w:rsid w:val="006814FC"/>
    <w:rsid w:val="006F4836"/>
    <w:rsid w:val="00724F7D"/>
    <w:rsid w:val="007769CE"/>
    <w:rsid w:val="007E13D2"/>
    <w:rsid w:val="00814252"/>
    <w:rsid w:val="008921B2"/>
    <w:rsid w:val="008F34F5"/>
    <w:rsid w:val="008F419F"/>
    <w:rsid w:val="0090696E"/>
    <w:rsid w:val="00932096"/>
    <w:rsid w:val="00947E5F"/>
    <w:rsid w:val="009A4F6B"/>
    <w:rsid w:val="009E3CC9"/>
    <w:rsid w:val="009F6396"/>
    <w:rsid w:val="00A37ED8"/>
    <w:rsid w:val="00A445C7"/>
    <w:rsid w:val="00AC41AB"/>
    <w:rsid w:val="00AF7811"/>
    <w:rsid w:val="00B30BC0"/>
    <w:rsid w:val="00B32BE7"/>
    <w:rsid w:val="00B8592A"/>
    <w:rsid w:val="00C62A84"/>
    <w:rsid w:val="00C63CA1"/>
    <w:rsid w:val="00C87D93"/>
    <w:rsid w:val="00D370E9"/>
    <w:rsid w:val="00D556E1"/>
    <w:rsid w:val="00DB7A9E"/>
    <w:rsid w:val="00EF6929"/>
    <w:rsid w:val="00F25B14"/>
    <w:rsid w:val="00F430D0"/>
    <w:rsid w:val="00F70C33"/>
    <w:rsid w:val="00F80A6E"/>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F25B14"/>
    <w:rPr>
      <w:color w:val="467886" w:themeColor="hyperlink"/>
      <w:u w:val="single"/>
    </w:rPr>
  </w:style>
  <w:style w:type="character" w:styleId="UnresolvedMention">
    <w:name w:val="Unresolved Mention"/>
    <w:basedOn w:val="DefaultParagraphFont"/>
    <w:uiPriority w:val="99"/>
    <w:semiHidden/>
    <w:unhideWhenUsed/>
    <w:rsid w:val="00F25B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89565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dispute-prevention-and-resolution" TargetMode="External"/><Relationship Id="rId13" Type="http://schemas.openxmlformats.org/officeDocument/2006/relationships/hyperlink" Target="https://www.construction-institute.org/dispute-prevention-and-resolution"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construction-institute.org/disputes-prevention-and-resolution-techniques-in-the-construction-industry" TargetMode="External"/><Relationship Id="rId12" Type="http://schemas.openxmlformats.org/officeDocument/2006/relationships/hyperlink" Target="https://www.construction-institute.org/disputes-prevention-and-resolution-techniques-in-the-construction-industry"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dpi-dispute-potential-index-a-study-into-the-predictability-of-contract-dispute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onstruction-institute.org/dispute-prevention-and-resolution"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s://www.construction-institute.org/dispute-prevention-and-resolution" TargetMode="External"/><Relationship Id="rId14" Type="http://schemas.openxmlformats.org/officeDocument/2006/relationships/hyperlink" Target="https://www.construction-institute.org/dpi-dispute-potential-index-a-study-into-the-predictability-of-contract-dispu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6B6FB67BA7344822A4C8A67F56F7F" ma:contentTypeVersion="13" ma:contentTypeDescription="Create a new document." ma:contentTypeScope="" ma:versionID="88b9c1e199b91d6431445329d398203f">
  <xsd:schema xmlns:xsd="http://www.w3.org/2001/XMLSchema" xmlns:xs="http://www.w3.org/2001/XMLSchema" xmlns:p="http://schemas.microsoft.com/office/2006/metadata/properties" xmlns:ns2="feae4e9e-0b41-4e39-b078-838474f81db9" xmlns:ns3="aa3bb2e8-3ca0-4ad5-ad9d-36a0b68e33e2" targetNamespace="http://schemas.microsoft.com/office/2006/metadata/properties" ma:root="true" ma:fieldsID="6c4dfbf126a3c708a9b7b830c47d38e6" ns2:_="" ns3:_="">
    <xsd:import namespace="feae4e9e-0b41-4e39-b078-838474f81db9"/>
    <xsd:import namespace="aa3bb2e8-3ca0-4ad5-ad9d-36a0b68e33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e4e9e-0b41-4e39-b078-838474f8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c7800f-3133-4166-986f-ae8bcd49982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bb2e8-3ca0-4ad5-ad9d-36a0b68e33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ce083d-30dc-47a2-a58d-cf728b611964}" ma:internalName="TaxCatchAll" ma:showField="CatchAllData" ma:web="aa3bb2e8-3ca0-4ad5-ad9d-36a0b68e33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ae4e9e-0b41-4e39-b078-838474f81db9">
      <Terms xmlns="http://schemas.microsoft.com/office/infopath/2007/PartnerControls"/>
    </lcf76f155ced4ddcb4097134ff3c332f>
    <TaxCatchAll xmlns="aa3bb2e8-3ca0-4ad5-ad9d-36a0b68e33e2" xsi:nil="true"/>
  </documentManagement>
</p:properties>
</file>

<file path=customXml/itemProps1.xml><?xml version="1.0" encoding="utf-8"?>
<ds:datastoreItem xmlns:ds="http://schemas.openxmlformats.org/officeDocument/2006/customXml" ds:itemID="{A639693B-1386-4B95-ACF8-FDB14CF0B8CC}"/>
</file>

<file path=customXml/itemProps2.xml><?xml version="1.0" encoding="utf-8"?>
<ds:datastoreItem xmlns:ds="http://schemas.openxmlformats.org/officeDocument/2006/customXml" ds:itemID="{D181D32B-310F-4C15-8EFB-618AE05C5DA9}"/>
</file>

<file path=customXml/itemProps3.xml><?xml version="1.0" encoding="utf-8"?>
<ds:datastoreItem xmlns:ds="http://schemas.openxmlformats.org/officeDocument/2006/customXml" ds:itemID="{CD34569E-D544-40EC-B046-298A411692CB}"/>
</file>

<file path=docProps/app.xml><?xml version="1.0" encoding="utf-8"?>
<Properties xmlns="http://schemas.openxmlformats.org/officeDocument/2006/extended-properties" xmlns:vt="http://schemas.openxmlformats.org/officeDocument/2006/docPropsVTypes">
  <Template>Normal</Template>
  <TotalTime>12</TotalTime>
  <Pages>1</Pages>
  <Words>300</Words>
  <Characters>3111</Characters>
  <Application>Microsoft Office Word</Application>
  <DocSecurity>0</DocSecurity>
  <Lines>47</Lines>
  <Paragraphs>16</Paragraphs>
  <ScaleCrop>false</ScaleCrop>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23</cp:revision>
  <dcterms:created xsi:type="dcterms:W3CDTF">2024-11-05T22:07:00Z</dcterms:created>
  <dcterms:modified xsi:type="dcterms:W3CDTF">2025-02-22T16:38:00Z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c622a338d3d1be625e49042f55047e5771acf9611a3214cd98c15f28a7c7514d</vt:lpwstr>
  </property>
  <property fmtid="{D5CDD505-2E9C-101B-9397-08002B2CF9AE}" pid="3" name="ContentTypeId">
    <vt:lpwstr>0x0101001F56B6FB67BA7344822A4C8A67F56F7F</vt:lpwstr>
  </property>
</Properties>
</file>